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
      <w:pPr>
        <w:spacing w:line="360" w:lineRule="auto"/>
        <w:rPr>
          <w:rFonts w:ascii="Calibri" w:hAnsi="Calibri" w:eastAsia="宋体" w:cs="Times New Roman"/>
          <w:b/>
          <w:sz w:val="44"/>
          <w:szCs w:val="44"/>
        </w:rPr>
      </w:pPr>
      <w:r>
        <w:rPr>
          <w:rFonts w:hint="eastAsia" w:ascii="Calibri" w:hAnsi="Calibri" w:eastAsia="宋体" w:cs="Times New Roman"/>
          <w:b/>
          <w:sz w:val="44"/>
          <w:szCs w:val="44"/>
        </w:rPr>
        <w:t>成为“浙江及国内传媒数字经济的领跑者”</w:t>
      </w:r>
    </w:p>
    <w:p>
      <w:pPr>
        <w:spacing w:line="360" w:lineRule="auto"/>
        <w:ind w:firstLine="643" w:firstLineChars="200"/>
        <w:jc w:val="right"/>
        <w:rPr>
          <w:rFonts w:ascii="Calibri" w:hAnsi="Calibri" w:eastAsia="宋体" w:cs="Times New Roman"/>
          <w:b/>
          <w:sz w:val="32"/>
          <w:szCs w:val="32"/>
        </w:rPr>
      </w:pPr>
    </w:p>
    <w:p>
      <w:pPr>
        <w:spacing w:line="360" w:lineRule="auto"/>
        <w:ind w:firstLine="640" w:firstLineChars="200"/>
        <w:rPr>
          <w:rFonts w:ascii="楷体" w:hAnsi="楷体" w:eastAsia="楷体" w:cs="Times New Roman"/>
          <w:sz w:val="32"/>
          <w:szCs w:val="32"/>
        </w:rPr>
      </w:pPr>
      <w:bookmarkStart w:id="0" w:name="_GoBack"/>
      <w:bookmarkEnd w:id="0"/>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浙报数字文化集团股份有限公司（证券代码：600633.SH，简称：浙数文化）脱胎于中国第一家由报业集团媒体经营性资产整体上市的公司浙报传媒集团股份有限公司，自2011年上市以来，围绕建设成为“浙江及国内传媒数字经济的领跑者”的发展目标，依托党报资源和资本平台优势，紧紧抓住政策和行业发展机遇，推进体制机制改革和产业创新转型，已成功从一家传统报业上市公司发展为以互联网数字文化业务为核心的产业集团，目前主业聚焦数字娱乐、大数据、数字体育等核心业务，重点打造数字文化及政府数字经济赋能平台两大核心板块，着力发展电商服务、艺术品服务等文化产业服务和文化产业投资业务，同时集中资源打造融媒体业务板块，大力服务国家媒体融合发展战略，推动公司高质量、可持续发展，被资本市场誉为国有传媒行业创新转型的标杆。</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自上市以来，公司严格遵守《公司法》《证券法》等法律法规和《公司章程》等制度规定，以高质量信息披露为核心，严格风险管控，防范内幕交易，实现公司规范发展，全力保护投资者权益。今年3月1日，新修订的《中华人民共和国证券法》正式施行，标志着我国证券市场法制化建设进入新的发展阶段，为进一步提高上市公司整体质量和加强投资者权益保护提供了更完善和坚实的法律保障。</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公司将以贯彻新《证券法》为契机，继续以保护投资者权益为重心，以股东和社会价值创造为宗旨，以敬畏之心，谋划发展之道，积极践行规范运作下的高质量发展，勠力同心、砥砺奋进，努力为投资者和资本市场创造价值。</w:t>
      </w:r>
    </w:p>
    <w:p>
      <w:pPr>
        <w:spacing w:line="360" w:lineRule="auto"/>
        <w:ind w:firstLine="640" w:firstLineChars="200"/>
        <w:rPr>
          <w:rFonts w:ascii="仿宋" w:hAnsi="仿宋" w:eastAsia="仿宋" w:cs="Times New Roman"/>
          <w:sz w:val="32"/>
          <w:szCs w:val="32"/>
        </w:rPr>
      </w:pP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一、实现产业创新转型，锻造企业核心竞争力，全力为投资者创造价值</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公司是国内较早布局互联网数字文化产业的上市公司，充分利用资本市场先发优势，始终在体制机制改革方面保持着持续创新能力并将其转化为充沛动力，在战略规划、产业布局等方面始终走在行业前列，坚持内生发展和外部并购并举，持续完善数字文化全产业链，加快转型升级。</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2011年成功借壳上市后，公司围绕上市前确立的“传媒控制资本、资本壮大传媒”理念，全力向“互联网枢纽型传媒集团”的战略目标迈进，及时布局了互联网相关领域；2013年，公司完成首次非公开发行，收购杭州边锋和上海浩方，搭建数字娱乐平台；2016年，公司完成第二次非公开发行，募资投建 “四位一体”大数据产业生态圈；2017年，公司实施第二次重大资产重组，剥离新闻传媒类资产，聚焦数字娱乐、大数据、数字体育等发展前景良好且已经完成深度布局的核心互联网新兴产业，同时通过投资、孵化介入了人工智能等高新技术领域，进一步完善各产业生态链；2018年，公司完成新一轮三年规划制定，进一步聚焦数字文化和政府数字经济赋能平台两大板块，目标成为“浙江及国内传媒数字经济的领跑者”。浙数文化历次的产业改革将公司牵引上了良好的发展轨道，在提升公司价值的同时，也为全体股东创造价值，维护股东权益，实现了经济效益和社会效益的统一。</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今年4月28日，公司2019年度报告正式揭晓。2019年，公司实现营业收入28.27亿元，取得净利润6.90亿元，其中归属于上市公司股东的净利润5.08亿元，扣除非经常性损益后的归属于上市公司股东的净利润2.79亿元。营收和净利润分别同比增长47%、21%，归母净利润和扣非归母净利润分别同比增长6%、12%。稳步提升的数据背后，凝聚着公司各位同仁、伙伴的智慧、勇气和心血，也是公司业务不断突破和核心竞争力持续提升的最好体现。</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报告期内，公司不断夯实在数字娱乐板块的综合竞争实力。作为浙数文化重要业务板块，边锋网络保持强劲增长势头，稳固占据国内互联网休闲游戏行业主要市场并持续拓展，继续有力支撑公司业绩稳定和增长。数字体育板块推进整体转型，专注聚焦电竞业务，为进一步做大做强电竞品牌，拓展上下游产业链夯实基础。同时，公司不断增强在大数据板块的市场开拓能力。富春云公司在互联网数据中心建设中取得突破，实现盈利目标，并积极开拓以优质IDC服务为基础的各类数据增值服务。在前期“互联网+政务服务”实战经验基础上，公司进一步下沉到城市级的新基础设施建设，深度参与“杭州城市大脑”、“数字浙江”等智慧城市建设中。与此同时，依托于党报集团、上市公司的资源禀赋和技术积累，公司积极探索媒体融合发展新路径，以短视频为抓手，全力筹建集内容聚合、审核、分发、变现为一体的“融媒体云平台”，注册资金5亿元人民币的浙报融媒体科技（浙江）有限责任公司全新亮相。</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回望公司上市后的征程，公司的目标、形态、产品、团队等始终在根据市场情况不断调整优化和发展，但有一条始终没变，就是坚定拥抱互联网推动自身产业创新的理念和决心没有变。八年多来的探索和实践，让我们深刻认识到：强大的资源整合能力是公司发展的核心竞争力，坚定不移的创新是公司发展的强劲动力，稳健的资本运作是公司发展的“蓄水池”，依法合规开展业务是公司发展的生命线。八年多来的奋力前行，既有顺势而为的战略选择，也有逆势而为的战术坚定。但每一次跨越、每一步拓展，公司都坚定不移并奋斗不懈，用激情和实干跑出高质量发展的“浙报速度”。</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上市八年多来，公司业绩保持稳定增长，累计实现归属于上市公司股东净利润</w:t>
      </w:r>
      <w:r>
        <w:rPr>
          <w:rFonts w:ascii="仿宋" w:hAnsi="仿宋" w:eastAsia="仿宋" w:cs="Times New Roman"/>
          <w:sz w:val="32"/>
          <w:szCs w:val="32"/>
        </w:rPr>
        <w:t>52.33</w:t>
      </w:r>
      <w:r>
        <w:rPr>
          <w:rFonts w:hint="eastAsia" w:ascii="仿宋" w:hAnsi="仿宋" w:eastAsia="仿宋" w:cs="Times New Roman"/>
          <w:sz w:val="32"/>
          <w:szCs w:val="32"/>
        </w:rPr>
        <w:t>亿元，持续为投资者创造价值。公司的创新转型也获得监管层和投资者的认可，交易所领导先后对公司并购重组实施情况进行专题调研和指导，对公司探索实施</w:t>
      </w:r>
      <w:r>
        <w:rPr>
          <w:rFonts w:ascii="仿宋" w:hAnsi="仿宋" w:eastAsia="仿宋" w:cs="Times New Roman"/>
          <w:sz w:val="32"/>
          <w:szCs w:val="32"/>
        </w:rPr>
        <w:t>产业转型的经验和成果</w:t>
      </w:r>
      <w:r>
        <w:rPr>
          <w:rFonts w:hint="eastAsia" w:ascii="仿宋" w:hAnsi="仿宋" w:eastAsia="仿宋" w:cs="Times New Roman"/>
          <w:sz w:val="32"/>
          <w:szCs w:val="32"/>
        </w:rPr>
        <w:t>给予</w:t>
      </w:r>
      <w:r>
        <w:rPr>
          <w:rFonts w:ascii="仿宋" w:hAnsi="仿宋" w:eastAsia="仿宋" w:cs="Times New Roman"/>
          <w:sz w:val="32"/>
          <w:szCs w:val="32"/>
        </w:rPr>
        <w:t>充分</w:t>
      </w:r>
      <w:r>
        <w:rPr>
          <w:rFonts w:hint="eastAsia" w:ascii="仿宋" w:hAnsi="仿宋" w:eastAsia="仿宋" w:cs="Times New Roman"/>
          <w:sz w:val="32"/>
          <w:szCs w:val="32"/>
        </w:rPr>
        <w:t>肯定；公司先后入选上证公司治理板块、上证180指数样本股及沪深300指数样本股，并于2016、2017年连续入选亚洲品牌500强。</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二、坚持高标准信息披露，持续高比例现金分红，与投资者共享发展成果</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1．践行新证券法，坚持高标准信息披露</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公司在上市之初即建立了以信息披露为核心，以上证E互动、官网、电话、微博、微信等多渠道平台为辅的投资者沟通交流体系，持续提升投资者沟通实际效果。在重大事项实施过程中，公司</w:t>
      </w:r>
      <w:r>
        <w:rPr>
          <w:rFonts w:ascii="仿宋" w:hAnsi="仿宋" w:eastAsia="仿宋" w:cs="Times New Roman"/>
          <w:sz w:val="32"/>
          <w:szCs w:val="32"/>
        </w:rPr>
        <w:t>均</w:t>
      </w:r>
      <w:r>
        <w:rPr>
          <w:rFonts w:hint="eastAsia" w:ascii="仿宋" w:hAnsi="仿宋" w:eastAsia="仿宋" w:cs="Times New Roman"/>
          <w:sz w:val="32"/>
          <w:szCs w:val="32"/>
        </w:rPr>
        <w:t>严格遵守相关法律法规，主动与证券监管部门提前汇报沟通，针对投资者关心的内容进行及时充分的披露。公司凭借高标准的信息披露工作连续5年获上交所信息披露评级A级。</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新修订的《证券法》新增“信息披露”和“投资者保护”专章，进一步完善了信息披露监管制度，规范了投资者保护具体内容，加大对违反证券监督法律行为的处罚力度，为进一步提高上市公司整体质量和加强投资者权益保护提供了更完善和坚实的法律保障。围绕新修订的《证券法》，公司将继续以保护投资者权益为重心，坚持高标准信息披露，确保信息披露的及时性、公平性，保证披露信息的真实、准确、完整，并做到简明清晰，通俗易懂，维护投资者知情权。</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2.完善沟通渠道，架设投资者关系桥梁</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近年来，受国内外宏观经济环境影响，A股市场整体行情走低。为稳定公司股权结构，维护市场形象，公司加大力度开展投资者关系管理，安排多次赴北上广深等地与投资者面对面沟通，及时传递公司经营业绩、体制机制创新、产业结构优化调整等信息，增强投资者互动交流，提升市场对公司的认可度。在定期报告和重大事项发布后，公司及时组织业绩说明会，董事长、高管、相关子公司负责人与行业研究员和投资者面对面,多方面交流公司发展战略和经营情况，并参加由证券监管部门举办的辖区上市公司投资者网上集体接待日活动，上市以来已累计接待投资者2000余人次。</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在日常投资者交流中，公司通过上证E互动平台、电话、微信公众号等多渠道，从并购重组、非公开发行，到日常经营和三会运作，均积极认真回复，及时充分的沟通建立了良好的投资者互动关系，较好地维护了投资者的知情权。</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公司积极参与各级上市公司协会投资者保护相关的活动，主动承担相应社会责任，努力为促进资本市场持续健康发展贡献力量。2014年12月,公司入选中上协首届投资者关系管理专业委员会和文化传媒行业委员会，并于2014、2015年公司连续两年被中国上市公司协会组织评选为“最受投资者尊重的上市公司百强”，2018年9月，公司再度入选中上协第二届投资者关系管理专业委员会，并担任副主任委员单位，2019年，公司当选浙江上市公司协会第五届理事会副理事长单位，全力投身于投资者保护等工作当中，从进一步规范公司治理水平、提高信息披露质量、提升公司投关管理能力、引导建立正确市值管理理念等多方面向委员会建言献策，助力中国资本市场形成保护中小投资者、服务中小投资者的良好氛围。</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3.保持高比例现金分红，持续回馈投资者</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作为投资者保护的重要组成部分，上市公司现金分红是对投资者最好的回馈和保护。浙数文化始终高度重视与投资者分享经营成果，上市之初即将现金分红要求写入《公司章程》，并实施较法定要求更高比例的现金分红政策，九年内有三年的现金分红比例超过50%，截止2019年累计现金分红已超13.53亿元人民币。</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面对近年股市波动，公司与控股股东及时采取措施，稳定公司股价，提振市场信心，保护投资者利益。2015年，为积极响应证监会稳定股市的号召，公司管理层以自有资金增持，同时控股股东以自有资金增持近1亿元；2018年，受国内外环境影响，公司在基本面良好但股价大幅下滑的情况下，第一时间推出股份回购方案，使用自有资金3</w:t>
      </w:r>
      <w:r>
        <w:rPr>
          <w:rFonts w:ascii="仿宋" w:hAnsi="仿宋" w:eastAsia="仿宋" w:cs="Times New Roman"/>
          <w:sz w:val="32"/>
          <w:szCs w:val="32"/>
        </w:rPr>
        <w:t>.07</w:t>
      </w:r>
      <w:r>
        <w:rPr>
          <w:rFonts w:hint="eastAsia" w:ascii="仿宋" w:hAnsi="仿宋" w:eastAsia="仿宋" w:cs="Times New Roman"/>
          <w:sz w:val="32"/>
          <w:szCs w:val="32"/>
        </w:rPr>
        <w:t>亿元回购公司股份</w:t>
      </w:r>
      <w:r>
        <w:rPr>
          <w:rFonts w:ascii="仿宋" w:hAnsi="仿宋" w:eastAsia="仿宋" w:cs="Times New Roman"/>
          <w:sz w:val="32"/>
          <w:szCs w:val="32"/>
        </w:rPr>
        <w:t>36,193,430</w:t>
      </w:r>
      <w:r>
        <w:rPr>
          <w:rFonts w:hint="eastAsia" w:ascii="仿宋" w:hAnsi="仿宋" w:eastAsia="仿宋" w:cs="Times New Roman"/>
          <w:sz w:val="32"/>
          <w:szCs w:val="32"/>
        </w:rPr>
        <w:t>股，占公司总股本的2.78%，控股股东也再次实施1亿元增持计划，提振投资者信心。上述举措，既传递了公司与控股股东对公司未来发展前景的信心，也展现出了公司对保护投资者权益的决心和担当，获得了证券监管部门和广大投资者的一致好评。</w:t>
      </w:r>
    </w:p>
    <w:p>
      <w:pPr>
        <w:spacing w:line="360" w:lineRule="auto"/>
        <w:ind w:firstLine="643" w:firstLineChars="200"/>
        <w:rPr>
          <w:rFonts w:ascii="仿宋" w:hAnsi="仿宋" w:eastAsia="仿宋" w:cs="Times New Roman"/>
          <w:b/>
          <w:sz w:val="32"/>
          <w:szCs w:val="32"/>
        </w:rPr>
      </w:pPr>
      <w:r>
        <w:rPr>
          <w:rFonts w:hint="eastAsia" w:ascii="仿宋" w:hAnsi="仿宋" w:eastAsia="仿宋" w:cs="Times New Roman"/>
          <w:b/>
          <w:sz w:val="32"/>
          <w:szCs w:val="32"/>
        </w:rPr>
        <w:t>三、提升危中觅机的能力，坚持加快动能变革，奏响未来新篇章</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迈入2020年，当前全球疫情扩散、金融市场动荡、经贸摩擦不断等等，全球经济和社会发展的严峻性、复杂性和不确定性愈演愈烈,危机四伏。这一年不仅将是世界格局的转折点，还将是很多行业、企业生死攸关的转折点。我们又该如何保持战略定力继续赋能前行？</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不久前，习近平总书记在春风化雨中再次亲临浙江考察，全省上下备受鼓舞、备感振奋，总书记指出“危和机总是同生并存的，克服了危即是机”，殷切期待浙江要“努力成为新时代全面展示中国特色社会主义制度优越性的重要窗口”，这是总书记对浙江提出的新目标新定位新使命。</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浙数文化作为浙江省首家上市的国有文化企业，一直走在产业创新发展和体制机制改革的前列，同时也是数字经济的先行者和探路者。我们将坚定自我发展的信心，努力提升化危为机的能力，紧紧抓住互联网、大数据技术革新和文化产业大发展的战略机遇，打开创新通路重塑产业格局。</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将牢牢把握“新消费”的风口，进一步优化以边锋网络为基础的数字娱乐产业布局，在保持国内游戏业务稳定增长的同时，进一步拓展海外业务布局，加大技术研发和市场拓展的力度，探索人工智能应用于休闲、社交、文化等数字娱乐领域的可能性，推动文化产品“深下去”、“走出去”。</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将紧紧抓住“新基建”的机遇，不断强化“富春云”互联网数据中心在业内的领先位置，并积极寻找新的拓展机会，进一步探索基于优质IDC资源拓展产业链上下游相关延伸服务，推动富春云成为公司经营业绩新的增长点。同时进一步投入到“城市大脑”、“数字浙江”等智慧城市、智慧政务建设中，助力浙江的数字化转型继续走在全国前列。</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将全力激发内容产业在媒体深度融合下的新活力新潜能，整合资源高标准推进融媒体平台建设，助推融媒体业务板块快速实现独立、清晰的市场化运作，集中力量打造“天枢”融媒体云平台，完成“天目”融媒体云平台资源的嫁接、融合，并积极探索融媒体平台与大数据、人工智能、区块链等高新技术的有机结合，初步形成符合主流价值的互联网内容聚合体系、运营体系、传播体系与商业体系。</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新的一年，公司还将大力推进浙数文化产业园项目建设，进一步满足公司未来发展的战略需要，实现产业集聚效应，打造互联网数字文化聚合发展新地标。</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未来已来，将至已至。不确定的是环境，确定的是我们自己。在这个“百年未遇之大变局”的时代，在传媒行业融合发展真正进入深水区的大环境下，在疫情大考倒逼数字经济跨越发展的当下，我们正坚定信心，执手前行，致力于让数字连接美好生活。这正是我们现在和未来的共同追求与希望，也是我们发展和突破的坚定决心和信心。</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新的一年，公司将继续秉持高质量发展的理念，始终坚持投资者保护的信念，切实担负起保护投资者权益的责任和使命，为推动建设良好的资本市场环境而不懈努力，为股东创造更多更高的价值。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06"/>
    <w:rsid w:val="000B44B2"/>
    <w:rsid w:val="000E558B"/>
    <w:rsid w:val="00190D94"/>
    <w:rsid w:val="001F100D"/>
    <w:rsid w:val="00244AFD"/>
    <w:rsid w:val="00247675"/>
    <w:rsid w:val="002F18A1"/>
    <w:rsid w:val="003048FF"/>
    <w:rsid w:val="00311D57"/>
    <w:rsid w:val="0036155D"/>
    <w:rsid w:val="004427A4"/>
    <w:rsid w:val="004612FC"/>
    <w:rsid w:val="0049245D"/>
    <w:rsid w:val="004B5278"/>
    <w:rsid w:val="00564CF6"/>
    <w:rsid w:val="00584997"/>
    <w:rsid w:val="005D2C06"/>
    <w:rsid w:val="0061003D"/>
    <w:rsid w:val="00615001"/>
    <w:rsid w:val="0061662B"/>
    <w:rsid w:val="006570D4"/>
    <w:rsid w:val="006660CD"/>
    <w:rsid w:val="006D19B1"/>
    <w:rsid w:val="007D40F0"/>
    <w:rsid w:val="0082779C"/>
    <w:rsid w:val="00837BB3"/>
    <w:rsid w:val="00873621"/>
    <w:rsid w:val="0092409C"/>
    <w:rsid w:val="0094015D"/>
    <w:rsid w:val="00977588"/>
    <w:rsid w:val="009B35C3"/>
    <w:rsid w:val="009F76F9"/>
    <w:rsid w:val="00AB21F7"/>
    <w:rsid w:val="00BA5A7D"/>
    <w:rsid w:val="00C623A4"/>
    <w:rsid w:val="00D81759"/>
    <w:rsid w:val="00D848B1"/>
    <w:rsid w:val="00D93E4A"/>
    <w:rsid w:val="00E22790"/>
    <w:rsid w:val="00EA457F"/>
    <w:rsid w:val="00EB19B4"/>
    <w:rsid w:val="00EE695B"/>
    <w:rsid w:val="00FF1831"/>
    <w:rsid w:val="07F640D0"/>
    <w:rsid w:val="1D6B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756</Words>
  <Characters>4312</Characters>
  <Lines>35</Lines>
  <Paragraphs>10</Paragraphs>
  <TotalTime>0</TotalTime>
  <ScaleCrop>false</ScaleCrop>
  <LinksUpToDate>false</LinksUpToDate>
  <CharactersWithSpaces>5058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2020-05-13T10:01:00Z</dcterms:created>
  <dc:creator>叶恒珊</dc:creator>
  <cp:lastModifiedBy>马晓鹏</cp:lastModifiedBy>
  <dcterms:modified xsi:type="dcterms:W3CDTF">2020-05-27T09:26:18Z</dcterms:modified>
  <dc:title>“诚实守信 做受尊敬的上市公司”投资者保护专项行动系列宣传文章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