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“诚实守信 做受尊敬的上市公司”投资者保护专项行动</w:t>
      </w: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系列宣传文章</w:t>
      </w:r>
    </w:p>
    <w:p>
      <w:pPr>
        <w:spacing w:after="156" w:afterLines="50" w:line="560" w:lineRule="exact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强化投资人知情权保护</w:t>
      </w:r>
      <w:r>
        <w:rPr>
          <w:rFonts w:hint="eastAsia" w:ascii="黑体" w:hAnsi="黑体" w:eastAsia="黑体"/>
          <w:b/>
          <w:bCs/>
          <w:sz w:val="32"/>
          <w:szCs w:val="32"/>
        </w:rPr>
        <w:t>，</w:t>
      </w:r>
      <w:r>
        <w:rPr>
          <w:rFonts w:ascii="黑体" w:hAnsi="黑体" w:eastAsia="黑体"/>
          <w:b/>
          <w:bCs/>
          <w:sz w:val="32"/>
          <w:szCs w:val="32"/>
        </w:rPr>
        <w:t>持续提升</w:t>
      </w:r>
      <w:r>
        <w:rPr>
          <w:rFonts w:hint="eastAsia" w:ascii="黑体" w:hAnsi="黑体" w:eastAsia="黑体"/>
          <w:b/>
          <w:bCs/>
          <w:sz w:val="32"/>
          <w:szCs w:val="32"/>
        </w:rPr>
        <w:t>投资者</w:t>
      </w:r>
      <w:r>
        <w:rPr>
          <w:rFonts w:ascii="黑体" w:hAnsi="黑体" w:eastAsia="黑体"/>
          <w:b/>
          <w:bCs/>
          <w:sz w:val="32"/>
          <w:szCs w:val="32"/>
        </w:rPr>
        <w:t>关系管理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一、新证券法的变化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2019年底，中国全国人大常委会审议通过了修订后的《中华人民共和国证券法》（以下简称新证券法），并于今年3月起正式实施。法案出台后，公司对此进行了深入的学习和探讨，感到新证券法在“</w:t>
      </w:r>
      <w:r>
        <w:rPr>
          <w:rFonts w:ascii="仿宋" w:hAnsi="仿宋" w:eastAsia="仿宋"/>
          <w:sz w:val="28"/>
          <w:szCs w:val="28"/>
        </w:rPr>
        <w:t>信息披露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投资者保护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等方面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提出了更高的要求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“信息披露”在新证券法中单列一章，设定“信息披露义务人”的崭新概念，对信息披露的范围和标准进行拓宽和充实，着重突出了董监高和控股股东在信息披露中的地位、义务和责任，完善了信息披露的基础规则，明确了信息披露的监管方向和重点，重塑信息披露监管体系和监管权，搭建起上市公司信息披露的立体规范模式，发挥信息披露规则的整体效能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同时，新证券法还单设“投资者保护”专章，大幅度提高投资者保护水平：</w:t>
      </w:r>
      <w:r>
        <w:rPr>
          <w:rFonts w:ascii="仿宋" w:hAnsi="仿宋" w:eastAsia="仿宋"/>
          <w:sz w:val="28"/>
          <w:szCs w:val="28"/>
        </w:rPr>
        <w:t>区分普通投资者和专业投资者，有针对性的做出投资者权益保护安排；</w:t>
      </w:r>
      <w:r>
        <w:rPr>
          <w:rFonts w:hint="eastAsia" w:ascii="仿宋" w:hAnsi="仿宋" w:eastAsia="仿宋"/>
          <w:sz w:val="28"/>
          <w:szCs w:val="28"/>
        </w:rPr>
        <w:t>在中国法律上第一次明确规定投资者适当性制度，明确了证券代表人诉讼制度-“默示加入明示退出的制度”，并在“法律责任”章节大幅度提高对违法行为的处罚水平，惩罚的倍数从原来的1-5倍基本上提高到了1-10倍。在证券市场未来采取“宽进严管”政策时，以有力的惩罚措施实现严管的政策目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这些变化，</w:t>
      </w:r>
      <w:r>
        <w:rPr>
          <w:rFonts w:ascii="仿宋" w:hAnsi="仿宋" w:eastAsia="仿宋"/>
          <w:sz w:val="28"/>
          <w:szCs w:val="28"/>
        </w:rPr>
        <w:t>体现了</w:t>
      </w:r>
      <w:r>
        <w:rPr>
          <w:rFonts w:hint="eastAsia" w:ascii="仿宋" w:hAnsi="仿宋" w:eastAsia="仿宋"/>
          <w:sz w:val="28"/>
          <w:szCs w:val="28"/>
        </w:rPr>
        <w:t>监管机构</w:t>
      </w:r>
      <w:r>
        <w:rPr>
          <w:rFonts w:ascii="仿宋" w:hAnsi="仿宋" w:eastAsia="仿宋"/>
          <w:sz w:val="28"/>
          <w:szCs w:val="28"/>
        </w:rPr>
        <w:t>约束</w:t>
      </w:r>
      <w:r>
        <w:rPr>
          <w:rFonts w:hint="eastAsia" w:ascii="仿宋" w:hAnsi="仿宋" w:eastAsia="仿宋"/>
          <w:sz w:val="28"/>
          <w:szCs w:val="28"/>
        </w:rPr>
        <w:t>上市公司管理层</w:t>
      </w:r>
      <w:r>
        <w:rPr>
          <w:rFonts w:ascii="仿宋" w:hAnsi="仿宋" w:eastAsia="仿宋"/>
          <w:sz w:val="28"/>
          <w:szCs w:val="28"/>
        </w:rPr>
        <w:t>行为</w:t>
      </w:r>
      <w:r>
        <w:rPr>
          <w:rFonts w:hint="eastAsia" w:ascii="仿宋" w:hAnsi="仿宋" w:eastAsia="仿宋"/>
          <w:sz w:val="28"/>
          <w:szCs w:val="28"/>
        </w:rPr>
        <w:t>，强化上市公司信息披露，</w:t>
      </w:r>
      <w:r>
        <w:rPr>
          <w:rFonts w:ascii="仿宋" w:hAnsi="仿宋" w:eastAsia="仿宋"/>
          <w:sz w:val="28"/>
          <w:szCs w:val="28"/>
        </w:rPr>
        <w:t>保护</w:t>
      </w:r>
      <w:r>
        <w:rPr>
          <w:rFonts w:hint="eastAsia" w:ascii="仿宋" w:hAnsi="仿宋" w:eastAsia="仿宋"/>
          <w:sz w:val="28"/>
          <w:szCs w:val="28"/>
        </w:rPr>
        <w:t>广大</w:t>
      </w:r>
      <w:r>
        <w:rPr>
          <w:rFonts w:ascii="仿宋" w:hAnsi="仿宋" w:eastAsia="仿宋"/>
          <w:sz w:val="28"/>
          <w:szCs w:val="28"/>
        </w:rPr>
        <w:t>投资者的决心。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二、新证券法下公司的实践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新证券法的出台，让资本市场看到符合国情又具现实意义的立法进步。公司在认真学习法规的同时，也在检视自身的操作实践，希望持续提升公司信息披露，以及投资者关系管理工作水平。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1.第一时间披露急性事件，保障投资者知情权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宝钢股份多年来一直坚持“公开、公平、公正”的信息披露原则，秉承“告诉投资者真实的故事”的理念，认真、严谨地做好信息披露工作。公司严格按照临时公告和定期报告格式指引的要求进行信息披露，披露的信息内容简要清晰、通俗易懂，有针对性地及时反映公司的真实情况，不虚报、不瞒报，帮助投资者及时了解公司最新情况，增加公司透明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今年三月，公司某基地发生了生产事故。事故当夜，微博上有了新闻，微信上视频流传，各种议论和猜测充斥网络。面对这一紧急事件，公司高度重视：内部部门连夜梳理了相关情况；董秘室据此并针对外部市场关注点草拟了临时公告，交由公司管理层审阅。次日一早，公司临时公告提交发布，让广大投资人在股市开盘前，就能够通过公司公告了解此次事件的具体影响。这样及时、准确的信息披露，有效平息了市场流言的传播，在保证投资人知情权的同时，也维护了公司股价的稳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2.定期报告增加自愿性披露，提升投资者阅读体验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做好常规信息披露工作的同时，公司从投资者阅读角度考虑，换位思考，从“提升阅读体验”和“突出重点内容”两个方面着手，在定期报告的编制中持续加大自愿性信息披露。从2013年度报告开始，新增“公司亮点”章节，将年报核心内容进行提取精炼，放在首要章节供投资者了解；从2014年度报告开始，将“一张图看懂年报业绩”加入年报首页，以简明、直白的一张图来介绍公司经营业绩，让投资者一目了然，用最快的速度了解年度经营情况；2019年度报告中，新增了公司与投资者互动交流的总结，回应外部市场对此的关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未来，公司仍将不断审视定期报告的编制，依据投资者的关切，继续优化改善投资者的阅读体验，帮助公司定期报告信息在资本市场得到更好的理解和推广。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3.坚持高质量的投资者关系互动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以来，受疫情影响，尽管公司均已复工复产，但对于集会、交流接触仍有诸多限制和不便。如何开展今年定期报告发布后的系列投资者关系活动，保障公司与资本市场高质量的沟通交流，成为公司董秘室团队亟需解决的问题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兼顾疫情防控和投资人沟通感受，公司最终选择了“视频直播+电话会议”的方式召开公司年度业绩发布会。公司董秘室与外部服务商密切合作，确认视频直播细节；同时并事先测试场地和网络保障，确保会场视听效果。</w:t>
      </w:r>
    </w:p>
    <w:p>
      <w:pPr>
        <w:pStyle w:val="10"/>
        <w:ind w:firstLine="560" w:firstLineChars="200"/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4月底公司以视频直播形式召开了业绩发布会，董事长邹继新、总经理侯安贵、</w:t>
      </w:r>
      <w:r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  <w:t>财务总监</w:t>
      </w: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兼董事会秘书</w:t>
      </w:r>
      <w:r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  <w:t>王娟</w:t>
      </w: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出席会议。此次业绩材料紧扣市场关注的焦点，从业绩解读、宝武合并、环境保护、行业展望等方面进行深入阐述。在互动交流环节，公司管理层回答了长期战略、中期经营、短期业绩等方面的多个问题。整场会议历时2小时，过程紧凑，信息量巨大，得到了参会者的一致好评。</w:t>
      </w:r>
    </w:p>
    <w:p>
      <w:pPr>
        <w:pStyle w:val="10"/>
        <w:ind w:firstLine="560" w:firstLineChars="200"/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这是公司首次尝试视频直播发布业绩，取得了良好的效果，覆盖面较过去的现场模式有大幅的提升。经统计,业绩发布当天，网络直播点击量1036人次，截至5月8日，网络直播页面回看累计8000人次。</w:t>
      </w:r>
    </w:p>
    <w:p>
      <w:pPr>
        <w:pStyle w:val="10"/>
        <w:ind w:firstLine="560" w:firstLineChars="200"/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此外，视频直播也提升了公司员工对业绩发布的参与感，使他们有机会身临其境聆听公司管理层对于行业、公司的思考，不少员工对此给出了很好的评价。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10"/>
        <w:ind w:firstLine="560" w:firstLineChars="200"/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随着新证券法的实施，中国资本市场改革向纵深推进，未来资本市场的投资</w:t>
      </w:r>
      <w:r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  <w:t>理念也将趋于成熟和多元</w:t>
      </w: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。届时，宝钢股份这样的周期性基础材料公司，凭借绩优和高分红等特性，有望得到更加合理的估值。公司将继续强化信息披露和投资者关系工作，完善和优化公司治理；蓄势待发、应时而动，早日迎来公司估值的春天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67"/>
    <w:rsid w:val="00007C79"/>
    <w:rsid w:val="00016062"/>
    <w:rsid w:val="000430BC"/>
    <w:rsid w:val="000600A2"/>
    <w:rsid w:val="00065366"/>
    <w:rsid w:val="00074CCA"/>
    <w:rsid w:val="0010251D"/>
    <w:rsid w:val="001109A9"/>
    <w:rsid w:val="00122A1C"/>
    <w:rsid w:val="0015104E"/>
    <w:rsid w:val="001745CA"/>
    <w:rsid w:val="0020292D"/>
    <w:rsid w:val="00240BAE"/>
    <w:rsid w:val="00246B7A"/>
    <w:rsid w:val="002C5A1B"/>
    <w:rsid w:val="002D744E"/>
    <w:rsid w:val="002E618C"/>
    <w:rsid w:val="00344128"/>
    <w:rsid w:val="00345E74"/>
    <w:rsid w:val="00366A80"/>
    <w:rsid w:val="00380308"/>
    <w:rsid w:val="004116E7"/>
    <w:rsid w:val="00446FF3"/>
    <w:rsid w:val="004511C2"/>
    <w:rsid w:val="00477239"/>
    <w:rsid w:val="004B0442"/>
    <w:rsid w:val="004E3382"/>
    <w:rsid w:val="004E7BC5"/>
    <w:rsid w:val="00520D4E"/>
    <w:rsid w:val="005619AB"/>
    <w:rsid w:val="005B4C1B"/>
    <w:rsid w:val="005D0B44"/>
    <w:rsid w:val="005D4AC3"/>
    <w:rsid w:val="005D4F49"/>
    <w:rsid w:val="00636769"/>
    <w:rsid w:val="00693522"/>
    <w:rsid w:val="006D4B24"/>
    <w:rsid w:val="006F6D4F"/>
    <w:rsid w:val="00704110"/>
    <w:rsid w:val="00750427"/>
    <w:rsid w:val="00763481"/>
    <w:rsid w:val="007665E5"/>
    <w:rsid w:val="007C478E"/>
    <w:rsid w:val="008149BE"/>
    <w:rsid w:val="008606E6"/>
    <w:rsid w:val="00871D36"/>
    <w:rsid w:val="00872D7B"/>
    <w:rsid w:val="008D54AE"/>
    <w:rsid w:val="00955CB2"/>
    <w:rsid w:val="009C5E50"/>
    <w:rsid w:val="00A52BEF"/>
    <w:rsid w:val="00A7064F"/>
    <w:rsid w:val="00A729FC"/>
    <w:rsid w:val="00AC5441"/>
    <w:rsid w:val="00AC54B9"/>
    <w:rsid w:val="00AE33DA"/>
    <w:rsid w:val="00B0618A"/>
    <w:rsid w:val="00B56A99"/>
    <w:rsid w:val="00B8309C"/>
    <w:rsid w:val="00BC3E91"/>
    <w:rsid w:val="00BC5B6A"/>
    <w:rsid w:val="00C578C5"/>
    <w:rsid w:val="00C63C10"/>
    <w:rsid w:val="00C66EE1"/>
    <w:rsid w:val="00C95732"/>
    <w:rsid w:val="00D04A71"/>
    <w:rsid w:val="00D17F67"/>
    <w:rsid w:val="00D85FE7"/>
    <w:rsid w:val="00DB4F02"/>
    <w:rsid w:val="00DC27A2"/>
    <w:rsid w:val="00DD07F0"/>
    <w:rsid w:val="00E67889"/>
    <w:rsid w:val="00E964A8"/>
    <w:rsid w:val="00E96ADA"/>
    <w:rsid w:val="00ED387F"/>
    <w:rsid w:val="00F5756E"/>
    <w:rsid w:val="00FB60E5"/>
    <w:rsid w:val="00FC7546"/>
    <w:rsid w:val="00FE7D0E"/>
    <w:rsid w:val="0C0F4CEB"/>
    <w:rsid w:val="12B018A6"/>
    <w:rsid w:val="29A9205D"/>
    <w:rsid w:val="304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316</Words>
  <Characters>1804</Characters>
  <Lines>15</Lines>
  <Paragraphs>4</Paragraphs>
  <TotalTime>0</TotalTime>
  <ScaleCrop>false</ScaleCrop>
  <LinksUpToDate>false</LinksUpToDate>
  <CharactersWithSpaces>2116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2020-05-11T11:32:00Z</dcterms:created>
  <dc:creator>70017</dc:creator>
  <cp:lastModifiedBy>马晓鹏</cp:lastModifiedBy>
  <cp:lastPrinted>2020-05-11T13:48:00Z</cp:lastPrinted>
  <dcterms:modified xsi:type="dcterms:W3CDTF">2020-05-27T09:29:21Z</dcterms:modified>
  <dc:title>“诚实守信 做受尊敬的上市公司”投资者保护专项行动系列宣传文章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