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kern w:val="2"/>
          <w:sz w:val="28"/>
          <w:szCs w:val="28"/>
          <w:lang w:val="en-US" w:eastAsia="zh-CN" w:bidi="ar-SA"/>
        </w:rPr>
        <w:t>“诚实守信 做受尊敬的上市公司”投资者保护专项行动</w:t>
      </w:r>
      <w:r>
        <w:rPr>
          <w:rFonts w:hint="eastAsia" w:ascii="Times New Roman" w:hAnsi="Times New Roman" w:eastAsia="仿宋" w:cs="Times New Roman"/>
          <w:b/>
          <w:bCs/>
          <w:kern w:val="2"/>
          <w:sz w:val="28"/>
          <w:szCs w:val="28"/>
          <w:lang w:val="en-US" w:eastAsia="zh-CN" w:bidi="ar-SA"/>
        </w:rPr>
        <w:t>系列宣传文章</w:t>
      </w:r>
    </w:p>
    <w:p>
      <w:pPr>
        <w:spacing w:after="156" w:afterLines="50" w:line="560" w:lineRule="exact"/>
        <w:jc w:val="left"/>
        <w:rPr>
          <w:rFonts w:hint="eastAsia" w:ascii="Times New Roman" w:hAnsi="Times New Roman" w:eastAsia="仿宋" w:cs="Times New Roman"/>
          <w:kern w:val="2"/>
          <w:sz w:val="32"/>
          <w:szCs w:val="32"/>
          <w:lang w:val="en-US" w:eastAsia="zh-CN" w:bidi="ar-SA"/>
        </w:rPr>
      </w:pPr>
    </w:p>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东方风来满眼春</w:t>
      </w:r>
      <w:r>
        <w:rPr>
          <w:rFonts w:ascii="黑体" w:hAnsi="黑体" w:eastAsia="黑体"/>
          <w:color w:val="000000" w:themeColor="text1"/>
          <w:sz w:val="36"/>
          <w:szCs w:val="36"/>
          <w14:textFill>
            <w14:solidFill>
              <w14:schemeClr w14:val="tx1"/>
            </w14:solidFill>
          </w14:textFill>
        </w:rPr>
        <w:t>,山河万里起宏图</w:t>
      </w:r>
    </w:p>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——东方明珠践行新证券法、加强投资者保护工作</w:t>
      </w:r>
    </w:p>
    <w:p/>
    <w:p/>
    <w:p>
      <w:pPr>
        <w:spacing w:line="520" w:lineRule="exact"/>
        <w:ind w:firstLine="560" w:firstLineChars="200"/>
        <w:rPr>
          <w:rFonts w:ascii="宋体" w:hAnsi="宋体" w:eastAsia="宋体"/>
          <w:sz w:val="28"/>
          <w:szCs w:val="28"/>
        </w:rPr>
      </w:pPr>
      <w:r>
        <w:rPr>
          <w:rFonts w:hint="eastAsia" w:ascii="宋体" w:hAnsi="宋体" w:eastAsia="宋体"/>
          <w:sz w:val="28"/>
          <w:szCs w:val="28"/>
        </w:rPr>
        <w:t>随着新《证券法》颁布，并于2020年3</w:t>
      </w:r>
      <w:bookmarkStart w:id="0" w:name="_GoBack"/>
      <w:bookmarkEnd w:id="0"/>
      <w:r>
        <w:rPr>
          <w:rFonts w:hint="eastAsia" w:ascii="宋体" w:hAnsi="宋体" w:eastAsia="宋体"/>
          <w:sz w:val="28"/>
          <w:szCs w:val="28"/>
        </w:rPr>
        <w:t>月1日起正式实施，</w:t>
      </w:r>
      <w:r>
        <w:rPr>
          <w:rFonts w:ascii="宋体" w:hAnsi="宋体" w:eastAsia="宋体"/>
          <w:sz w:val="28"/>
          <w:szCs w:val="28"/>
        </w:rPr>
        <w:t>标志着我国资本市场在市场化、法治化的道路上又迈出至关重要的一步。修法完成后，保障资本市场健康、高效运行的法制基础将进一步夯实，市场生态也将产生深刻变化。</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019</w:t>
      </w:r>
      <w:r>
        <w:rPr>
          <w:rFonts w:hint="eastAsia" w:ascii="宋体" w:hAnsi="宋体" w:eastAsia="宋体"/>
          <w:sz w:val="28"/>
          <w:szCs w:val="28"/>
        </w:rPr>
        <w:t>年底，中国证监会印发的《推动提高上市公司质量行动计划》中强调了“四个结合”：一是企业内生发展与外部促进保障结合，突出上市公司第一责任，丰富外部制度供给；二是优化增量与调整存量结合，把好入口与出口关；三是解决突出问题与构建长效机制结合，立足当下、着眼长远；四是监管本位与协调推进结合，抓好精准监管，强化政策协同，推动形成强大合力。</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对于上市公司而言，谨记“四个敬畏”、严守“四条底线”，作为提高上市公司质量中肩负着第一责任和主体责任，东方明珠从以下几个方面入手，不断提高自身质量：</w:t>
      </w:r>
    </w:p>
    <w:p>
      <w:pPr>
        <w:spacing w:line="520" w:lineRule="exact"/>
        <w:ind w:firstLine="560" w:firstLineChars="200"/>
        <w:rPr>
          <w:rFonts w:ascii="宋体" w:hAnsi="宋体" w:eastAsia="宋体"/>
          <w:sz w:val="28"/>
          <w:szCs w:val="28"/>
        </w:rPr>
      </w:pPr>
    </w:p>
    <w:p>
      <w:pPr>
        <w:spacing w:line="520" w:lineRule="exact"/>
        <w:ind w:firstLine="562" w:firstLineChars="200"/>
        <w:rPr>
          <w:rFonts w:ascii="宋体" w:hAnsi="宋体" w:eastAsia="宋体"/>
          <w:b/>
          <w:bCs/>
          <w:sz w:val="28"/>
          <w:szCs w:val="28"/>
        </w:rPr>
      </w:pPr>
      <w:r>
        <w:rPr>
          <w:rFonts w:hint="eastAsia" w:ascii="宋体" w:hAnsi="宋体" w:eastAsia="宋体"/>
          <w:b/>
          <w:bCs/>
          <w:sz w:val="28"/>
          <w:szCs w:val="28"/>
        </w:rPr>
        <w:t>一、提高认识，特别是大股东和董监高等关键少数，要树立规范治理的原则立场</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企业上市成为公众公司，必须要按照资本市场的规则行事，公开透明地经营。易会满主席提出的“敬畏市场、敬畏法治、敬畏专业、敬畏投资者”这四大敬畏，应构成我们上市公司核心的原则和立场。</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加强公司经营管理层对合规的认识，也是对投资者知情权做到有效地保护。公司董事会办公室收集整理并编写了新《证券法》相关解读材料，呈报公司董事、监事们学习，并在公司总裁办公会议上向公司高管宣读了新《证券法》修订的重要要点，对于涉及到上市公司高管日常履职方面的规则做了重点研读并提示关注。</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对于短线交易适用对象的范围扩大到了董监高的配偶、父母、子女作了重点解读和提示，对于禁止的交易行为如短线交易、内幕信息交易等反复强调、提示，加强董事、监事及高级管理人员对于相关概念的学习和了解。</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新《证券法》对于违法违规行为的惩处力度大大加强，也是公司对董监高重点提示的部分。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同时，每次定期报告披露前的窗口期，董事会办公室会对公司持股5</w:t>
      </w:r>
      <w:r>
        <w:rPr>
          <w:rFonts w:ascii="宋体" w:hAnsi="宋体" w:eastAsia="宋体"/>
          <w:sz w:val="28"/>
          <w:szCs w:val="28"/>
        </w:rPr>
        <w:t>%</w:t>
      </w:r>
      <w:r>
        <w:rPr>
          <w:rFonts w:hint="eastAsia" w:ascii="宋体" w:hAnsi="宋体" w:eastAsia="宋体"/>
          <w:sz w:val="28"/>
          <w:szCs w:val="28"/>
        </w:rPr>
        <w:t>以上大股东、公司董事、监事、高级管理人员发出《窗口期提示函》，着重强调在窗口期内须遵循的规则，如禁止内幕信息交易、禁止窗口期内买卖公司股票、禁止窗口期内通过各种类型的渠道泄露公司经营情况及主要经营数据信息等。对于离任的董监高也充分提示了离任后半年内其个人所持上市公司股票方可减持。</w:t>
      </w:r>
    </w:p>
    <w:p>
      <w:pPr>
        <w:spacing w:line="520" w:lineRule="exact"/>
        <w:ind w:firstLine="560" w:firstLineChars="200"/>
        <w:rPr>
          <w:rFonts w:ascii="宋体" w:hAnsi="宋体" w:eastAsia="宋体"/>
          <w:sz w:val="28"/>
          <w:szCs w:val="28"/>
        </w:rPr>
      </w:pPr>
    </w:p>
    <w:p>
      <w:pPr>
        <w:spacing w:line="520" w:lineRule="exact"/>
        <w:ind w:firstLine="562" w:firstLineChars="200"/>
        <w:rPr>
          <w:rFonts w:ascii="宋体" w:hAnsi="宋体" w:eastAsia="宋体"/>
          <w:b/>
          <w:bCs/>
          <w:sz w:val="28"/>
          <w:szCs w:val="28"/>
        </w:rPr>
      </w:pPr>
      <w:r>
        <w:rPr>
          <w:rFonts w:hint="eastAsia" w:ascii="宋体" w:hAnsi="宋体" w:eastAsia="宋体"/>
          <w:b/>
          <w:bCs/>
          <w:sz w:val="28"/>
          <w:szCs w:val="28"/>
        </w:rPr>
        <w:t>二、提高上市公司质量，加强上市公司的规范治理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上市公司必须自觉遵守监管部门的各种监管规则，合规经营，牢牢守住“不披露虚假信息、不从事内幕交易、不操纵股票价格、不损害上市公司利益”的四条底线，是上市公司相关人员一定要认真学习和遵守的底线。</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东方明珠严格遵守中国证券监督管理委员会的证券监管规则和上海证券交易所法律法规及行业规范，持续完善公司治理结构，规范公司运营管理流程，建立了由股东大会、董事会、监事会和管理层组成的“三会一层”治理架构，同时形成了激励机制、监督与制衡机制的治理机制。做到了权责明确、各司其职、相互协调、有效制衡、科学决策、规范运作的经营管理架构。</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公司全面加强制度建设，全年出台、修订多项制度，涵盖行政、财务、人力、投资、技术、内容、安全和法务等，基本建立了东方明珠规章制度体系，为人才的配置、交流和发展提供更加清晰路径，同时优化薪酬结构，既提升核心人才薪酬的市场竞争力，又严格控制人力成本。</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在内部制度的梳理方面，紧随着新《证券法》颁布及证监会、交易所相关指引的出台，公司于2</w:t>
      </w:r>
      <w:r>
        <w:rPr>
          <w:rFonts w:ascii="宋体" w:hAnsi="宋体" w:eastAsia="宋体"/>
          <w:sz w:val="28"/>
          <w:szCs w:val="28"/>
        </w:rPr>
        <w:t>019</w:t>
      </w:r>
      <w:r>
        <w:rPr>
          <w:rFonts w:hint="eastAsia" w:ascii="宋体" w:hAnsi="宋体" w:eastAsia="宋体"/>
          <w:sz w:val="28"/>
          <w:szCs w:val="28"/>
        </w:rPr>
        <w:t>年底启动制订《内部信息报告管理制度》及其适用报送表格模板，并于2</w:t>
      </w:r>
      <w:r>
        <w:rPr>
          <w:rFonts w:ascii="宋体" w:hAnsi="宋体" w:eastAsia="宋体"/>
          <w:sz w:val="28"/>
          <w:szCs w:val="28"/>
        </w:rPr>
        <w:t>020</w:t>
      </w:r>
      <w:r>
        <w:rPr>
          <w:rFonts w:hint="eastAsia" w:ascii="宋体" w:hAnsi="宋体" w:eastAsia="宋体"/>
          <w:sz w:val="28"/>
          <w:szCs w:val="28"/>
        </w:rPr>
        <w:t>年4月2</w:t>
      </w:r>
      <w:r>
        <w:rPr>
          <w:rFonts w:ascii="宋体" w:hAnsi="宋体" w:eastAsia="宋体"/>
          <w:sz w:val="28"/>
          <w:szCs w:val="28"/>
        </w:rPr>
        <w:t>8</w:t>
      </w:r>
      <w:r>
        <w:rPr>
          <w:rFonts w:hint="eastAsia" w:ascii="宋体" w:hAnsi="宋体" w:eastAsia="宋体"/>
          <w:sz w:val="28"/>
          <w:szCs w:val="28"/>
        </w:rPr>
        <w:t>日经公司第九届董事会第八次会议审议通过。截至目前先后修订、制订并披露了《信息披露事务管理制度》《内幕信息知情人登记管理制度》《外部信息使用人管理制度》《投资者关系管理制度》《内部信息报告管理制度》，并且在公司内网挂网、OA下发传阅。在加强制度建设的同时，还与相关责任人、对接人在日常工作沟通中，强化相关规章制度的理解，以更好地执行推动制度落地践行。</w:t>
      </w:r>
    </w:p>
    <w:p>
      <w:pPr>
        <w:spacing w:line="520" w:lineRule="exact"/>
        <w:ind w:firstLine="560" w:firstLineChars="200"/>
        <w:rPr>
          <w:rFonts w:ascii="宋体" w:hAnsi="宋体" w:eastAsia="宋体"/>
          <w:sz w:val="28"/>
          <w:szCs w:val="28"/>
        </w:rPr>
      </w:pPr>
      <w:r>
        <w:rPr>
          <w:rFonts w:ascii="宋体" w:hAnsi="宋体" w:eastAsia="宋体"/>
          <w:sz w:val="28"/>
          <w:szCs w:val="28"/>
        </w:rPr>
        <w:t>2019年度，东方明珠</w:t>
      </w:r>
      <w:r>
        <w:rPr>
          <w:rFonts w:hint="eastAsia" w:ascii="宋体" w:hAnsi="宋体" w:eastAsia="宋体"/>
          <w:sz w:val="28"/>
          <w:szCs w:val="28"/>
        </w:rPr>
        <w:t>共召开</w:t>
      </w:r>
      <w:r>
        <w:rPr>
          <w:rFonts w:ascii="宋体" w:hAnsi="宋体" w:eastAsia="宋体"/>
          <w:sz w:val="28"/>
          <w:szCs w:val="28"/>
        </w:rPr>
        <w:t>2次股东</w:t>
      </w:r>
      <w:r>
        <w:rPr>
          <w:rFonts w:hint="eastAsia" w:ascii="宋体" w:hAnsi="宋体" w:eastAsia="宋体"/>
          <w:sz w:val="28"/>
          <w:szCs w:val="28"/>
        </w:rPr>
        <w:t>大会，</w:t>
      </w:r>
      <w:r>
        <w:rPr>
          <w:rFonts w:ascii="宋体" w:hAnsi="宋体" w:eastAsia="宋体"/>
          <w:sz w:val="28"/>
          <w:szCs w:val="28"/>
        </w:rPr>
        <w:t>筹备召开8次董事会会议、6</w:t>
      </w:r>
      <w:r>
        <w:rPr>
          <w:rFonts w:hint="eastAsia" w:ascii="宋体" w:hAnsi="宋体" w:eastAsia="宋体"/>
          <w:sz w:val="28"/>
          <w:szCs w:val="28"/>
        </w:rPr>
        <w:t>次监事会会议。每次会议的会议准备、会议通知、会议召开、会议决议、会议资料的整理和保存均符合规范运作的规定，董事、监事、高管对会议内容认真审核、充分讨论，均形成了有效的决议。</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为推动公司良好运营和可持续化发展，公司本着公开、公平、公的原则对最高治理机构及其委员会的成员进行提名和甄选，用有效的内部控制保证公司稳定与规范运作。</w:t>
      </w:r>
    </w:p>
    <w:p>
      <w:pPr>
        <w:spacing w:line="520" w:lineRule="exact"/>
        <w:ind w:firstLine="560" w:firstLineChars="200"/>
        <w:rPr>
          <w:rFonts w:ascii="宋体" w:hAnsi="宋体" w:eastAsia="宋体"/>
          <w:sz w:val="28"/>
          <w:szCs w:val="28"/>
        </w:rPr>
      </w:pPr>
    </w:p>
    <w:p>
      <w:pPr>
        <w:spacing w:line="520" w:lineRule="exact"/>
        <w:ind w:firstLine="562" w:firstLineChars="200"/>
        <w:rPr>
          <w:rFonts w:ascii="宋体" w:hAnsi="宋体" w:eastAsia="宋体"/>
          <w:b/>
          <w:bCs/>
          <w:sz w:val="28"/>
          <w:szCs w:val="28"/>
        </w:rPr>
      </w:pPr>
      <w:r>
        <w:rPr>
          <w:rFonts w:hint="eastAsia" w:ascii="宋体" w:hAnsi="宋体" w:eastAsia="宋体"/>
          <w:b/>
          <w:bCs/>
          <w:sz w:val="28"/>
          <w:szCs w:val="28"/>
        </w:rPr>
        <w:t>三、强化信息披露及投资者知情权保护</w:t>
      </w:r>
    </w:p>
    <w:p>
      <w:pPr>
        <w:autoSpaceDE w:val="0"/>
        <w:autoSpaceDN w:val="0"/>
        <w:adjustRightInd w:val="0"/>
        <w:spacing w:line="520" w:lineRule="exact"/>
        <w:ind w:firstLine="560" w:firstLineChars="200"/>
        <w:rPr>
          <w:rFonts w:ascii="宋体" w:hAnsi="宋体" w:eastAsia="宋体" w:cs="SourceHanSansCN-Bold"/>
          <w:kern w:val="0"/>
          <w:sz w:val="28"/>
          <w:szCs w:val="28"/>
        </w:rPr>
      </w:pPr>
      <w:r>
        <w:rPr>
          <w:rFonts w:hint="eastAsia" w:ascii="宋体" w:hAnsi="宋体" w:eastAsia="宋体" w:cs="SourceHanSansCN-Bold"/>
          <w:kern w:val="0"/>
          <w:sz w:val="28"/>
          <w:szCs w:val="28"/>
        </w:rPr>
        <w:t>1、强化信息披露</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公司严格按照公司上市规则和相关法律法规的有关要求，不断完善由股东大会、董事会、监事会和管理层构成的现代法人治理架构，形成权力机构、决策机构、监督机构和经营管理者之间的制衡机制。不断完善公司信息披露管理制度，提高公司治理水平，公司根据中国证监会相关规定制定并严格执行《信息披露管理制度》、《投资者关系管理制度》、《内幕信息知情人登记管理制度》、《东方明珠信息披露暂缓与豁免业务管理制度》等信息披露和内幕信息保密相关制度。公司全年共发布</w:t>
      </w:r>
      <w:r>
        <w:rPr>
          <w:rFonts w:ascii="宋体" w:hAnsi="宋体" w:eastAsia="宋体"/>
          <w:sz w:val="28"/>
          <w:szCs w:val="28"/>
        </w:rPr>
        <w:t>75条公告，真实、准确、完整、</w:t>
      </w:r>
      <w:r>
        <w:rPr>
          <w:rFonts w:hint="eastAsia" w:ascii="宋体" w:hAnsi="宋体" w:eastAsia="宋体"/>
          <w:sz w:val="28"/>
          <w:szCs w:val="28"/>
        </w:rPr>
        <w:t>及时的进行信息披露，充分保障投资者的知情权。</w:t>
      </w:r>
    </w:p>
    <w:p>
      <w:pPr>
        <w:autoSpaceDE w:val="0"/>
        <w:autoSpaceDN w:val="0"/>
        <w:adjustRightInd w:val="0"/>
        <w:spacing w:line="520" w:lineRule="exact"/>
        <w:ind w:firstLine="560" w:firstLineChars="200"/>
        <w:rPr>
          <w:rFonts w:ascii="宋体" w:hAnsi="宋体" w:eastAsia="宋体" w:cs="SourceHanSansCN-Bold"/>
          <w:kern w:val="0"/>
          <w:sz w:val="28"/>
          <w:szCs w:val="28"/>
        </w:rPr>
      </w:pPr>
      <w:r>
        <w:rPr>
          <w:rFonts w:hint="eastAsia" w:ascii="宋体" w:hAnsi="宋体" w:eastAsia="宋体" w:cs="SourceHanSansCN-Bold"/>
          <w:kern w:val="0"/>
          <w:sz w:val="28"/>
          <w:szCs w:val="28"/>
        </w:rPr>
        <w:t>2、加强投资者沟通</w:t>
      </w:r>
    </w:p>
    <w:p>
      <w:pPr>
        <w:autoSpaceDE w:val="0"/>
        <w:autoSpaceDN w:val="0"/>
        <w:adjustRightInd w:val="0"/>
        <w:spacing w:line="520" w:lineRule="exact"/>
        <w:ind w:firstLine="560" w:firstLineChars="200"/>
        <w:rPr>
          <w:rFonts w:ascii="宋体" w:hAnsi="宋体" w:eastAsia="宋体" w:cs="SourceHanSansCN-Normal"/>
          <w:kern w:val="0"/>
          <w:sz w:val="28"/>
          <w:szCs w:val="28"/>
        </w:rPr>
      </w:pPr>
      <w:r>
        <w:rPr>
          <w:rFonts w:ascii="宋体" w:hAnsi="宋体" w:eastAsia="宋体" w:cs="SourceHanSansCN-Normal"/>
          <w:kern w:val="0"/>
          <w:sz w:val="28"/>
          <w:szCs w:val="28"/>
        </w:rPr>
        <w:t>2019</w:t>
      </w:r>
      <w:r>
        <w:rPr>
          <w:rFonts w:hint="eastAsia" w:ascii="宋体" w:hAnsi="宋体" w:eastAsia="宋体" w:cs="SourceHanSansCN-Normal"/>
          <w:kern w:val="0"/>
          <w:sz w:val="28"/>
          <w:szCs w:val="28"/>
        </w:rPr>
        <w:t>年，公司积极开展投资者关系管理事务，完善公司对投资者的沟通、接待和服务工作机制。公司不断加强制度建设，高度重视与投资者的交流互动工作，通过专岗积极接听投资者热线、查看并回复投资者邮件、接待来访投资者，解答投资者疑问，通过现场交流、电话、传真、网络等方式与投资者开展公开透明的沟通交流。公司积极接待各类调研，并参与各大机构组织的策略会，积极与投资者进行沟通；举办投资者交流活动，增进与投资者的互动和沟通。</w:t>
      </w:r>
    </w:p>
    <w:p>
      <w:pPr>
        <w:autoSpaceDE w:val="0"/>
        <w:autoSpaceDN w:val="0"/>
        <w:adjustRightInd w:val="0"/>
        <w:spacing w:line="520" w:lineRule="exact"/>
        <w:ind w:firstLine="560" w:firstLineChars="200"/>
        <w:rPr>
          <w:rFonts w:ascii="宋体" w:hAnsi="宋体" w:eastAsia="宋体" w:cs="SourceHanSansCN-Normal"/>
          <w:kern w:val="0"/>
          <w:sz w:val="28"/>
          <w:szCs w:val="28"/>
        </w:rPr>
      </w:pPr>
      <w:r>
        <w:rPr>
          <w:rFonts w:ascii="宋体" w:hAnsi="宋体" w:eastAsia="宋体" w:cs="SourceHanSansCN-Normal"/>
          <w:kern w:val="0"/>
          <w:sz w:val="28"/>
          <w:szCs w:val="28"/>
        </w:rPr>
        <w:t>2019</w:t>
      </w:r>
      <w:r>
        <w:rPr>
          <w:rFonts w:hint="eastAsia" w:ascii="宋体" w:hAnsi="宋体" w:eastAsia="宋体" w:cs="SourceHanSansCN-Normal"/>
          <w:kern w:val="0"/>
          <w:sz w:val="28"/>
          <w:szCs w:val="28"/>
        </w:rPr>
        <w:t>年全年共接待投资者调研总次数</w:t>
      </w:r>
      <w:r>
        <w:rPr>
          <w:rFonts w:ascii="宋体" w:hAnsi="宋体" w:eastAsia="宋体" w:cs="SourceHanSansCN-Normal"/>
          <w:kern w:val="0"/>
          <w:sz w:val="28"/>
          <w:szCs w:val="28"/>
        </w:rPr>
        <w:t>687</w:t>
      </w:r>
      <w:r>
        <w:rPr>
          <w:rFonts w:hint="eastAsia" w:ascii="宋体" w:hAnsi="宋体" w:eastAsia="宋体" w:cs="SourceHanSansCN-Normal"/>
          <w:kern w:val="0"/>
          <w:sz w:val="28"/>
          <w:szCs w:val="28"/>
        </w:rPr>
        <w:t>次，总人数</w:t>
      </w:r>
      <w:r>
        <w:rPr>
          <w:rFonts w:ascii="宋体" w:hAnsi="宋体" w:eastAsia="宋体" w:cs="SourceHanSansCN-Normal"/>
          <w:kern w:val="0"/>
          <w:sz w:val="28"/>
          <w:szCs w:val="28"/>
        </w:rPr>
        <w:t>1052</w:t>
      </w:r>
      <w:r>
        <w:rPr>
          <w:rFonts w:hint="eastAsia" w:ascii="宋体" w:hAnsi="宋体" w:eastAsia="宋体" w:cs="SourceHanSansCN-Normal"/>
          <w:kern w:val="0"/>
          <w:sz w:val="28"/>
          <w:szCs w:val="28"/>
        </w:rPr>
        <w:t>人，其中线上调研接待次数为</w:t>
      </w:r>
      <w:r>
        <w:rPr>
          <w:rFonts w:ascii="宋体" w:hAnsi="宋体" w:eastAsia="宋体" w:cs="SourceHanSansCN-Normal"/>
          <w:kern w:val="0"/>
          <w:sz w:val="28"/>
          <w:szCs w:val="28"/>
        </w:rPr>
        <w:t>523</w:t>
      </w:r>
      <w:r>
        <w:rPr>
          <w:rFonts w:hint="eastAsia" w:ascii="宋体" w:hAnsi="宋体" w:eastAsia="宋体" w:cs="SourceHanSansCN-Normal"/>
          <w:kern w:val="0"/>
          <w:sz w:val="28"/>
          <w:szCs w:val="28"/>
        </w:rPr>
        <w:t>次，线下调研接待次数为</w:t>
      </w:r>
      <w:r>
        <w:rPr>
          <w:rFonts w:ascii="宋体" w:hAnsi="宋体" w:eastAsia="宋体" w:cs="SourceHanSansCN-Normal"/>
          <w:kern w:val="0"/>
          <w:sz w:val="28"/>
          <w:szCs w:val="28"/>
        </w:rPr>
        <w:t>164</w:t>
      </w:r>
      <w:r>
        <w:rPr>
          <w:rFonts w:hint="eastAsia" w:ascii="宋体" w:hAnsi="宋体" w:eastAsia="宋体" w:cs="SourceHanSansCN-Normal"/>
          <w:kern w:val="0"/>
          <w:sz w:val="28"/>
          <w:szCs w:val="28"/>
        </w:rPr>
        <w:t>次。全年接听及回复投资者来电</w:t>
      </w:r>
      <w:r>
        <w:rPr>
          <w:rFonts w:ascii="宋体" w:hAnsi="宋体" w:eastAsia="宋体" w:cs="SourceHanSansCN-Normal"/>
          <w:kern w:val="0"/>
          <w:sz w:val="28"/>
          <w:szCs w:val="28"/>
        </w:rPr>
        <w:t>2300</w:t>
      </w:r>
      <w:r>
        <w:rPr>
          <w:rFonts w:hint="eastAsia" w:ascii="宋体" w:hAnsi="宋体" w:eastAsia="宋体" w:cs="SourceHanSansCN-Normal"/>
          <w:kern w:val="0"/>
          <w:sz w:val="28"/>
          <w:szCs w:val="28"/>
        </w:rPr>
        <w:t>余次；浏览、回复投资者来邮件</w:t>
      </w:r>
      <w:r>
        <w:rPr>
          <w:rFonts w:ascii="宋体" w:hAnsi="宋体" w:eastAsia="宋体" w:cs="SourceHanSansCN-Normal"/>
          <w:kern w:val="0"/>
          <w:sz w:val="28"/>
          <w:szCs w:val="28"/>
        </w:rPr>
        <w:t>100</w:t>
      </w:r>
      <w:r>
        <w:rPr>
          <w:rFonts w:hint="eastAsia" w:ascii="宋体" w:hAnsi="宋体" w:eastAsia="宋体" w:cs="SourceHanSansCN-Normal"/>
          <w:kern w:val="0"/>
          <w:sz w:val="28"/>
          <w:szCs w:val="28"/>
        </w:rPr>
        <w:t>余封。</w:t>
      </w:r>
    </w:p>
    <w:p>
      <w:pPr>
        <w:spacing w:line="520" w:lineRule="exact"/>
        <w:ind w:firstLine="560" w:firstLineChars="200"/>
        <w:rPr>
          <w:rFonts w:ascii="宋体" w:hAnsi="宋体" w:eastAsia="宋体" w:cs="SourceHanSansCN-Normal"/>
          <w:kern w:val="0"/>
          <w:sz w:val="28"/>
          <w:szCs w:val="28"/>
        </w:rPr>
      </w:pPr>
      <w:r>
        <w:rPr>
          <w:rFonts w:hint="eastAsia" w:ascii="宋体" w:hAnsi="宋体" w:eastAsia="宋体" w:cs="SourceHanSansCN-Normal"/>
          <w:kern w:val="0"/>
          <w:sz w:val="28"/>
          <w:szCs w:val="28"/>
        </w:rPr>
        <w:t>为进一步加强与投资者的互动交流工作，公司于2</w:t>
      </w:r>
      <w:r>
        <w:rPr>
          <w:rFonts w:ascii="宋体" w:hAnsi="宋体" w:eastAsia="宋体" w:cs="SourceHanSansCN-Normal"/>
          <w:kern w:val="0"/>
          <w:sz w:val="28"/>
          <w:szCs w:val="28"/>
        </w:rPr>
        <w:t>019</w:t>
      </w:r>
      <w:r>
        <w:rPr>
          <w:rFonts w:hint="eastAsia" w:ascii="宋体" w:hAnsi="宋体" w:eastAsia="宋体" w:cs="SourceHanSansCN-Normal"/>
          <w:kern w:val="0"/>
          <w:sz w:val="28"/>
          <w:szCs w:val="28"/>
        </w:rPr>
        <w:t>年</w:t>
      </w:r>
      <w:r>
        <w:rPr>
          <w:rFonts w:ascii="宋体" w:hAnsi="宋体" w:eastAsia="宋体" w:cs="SourceHanSansCN-Normal"/>
          <w:kern w:val="0"/>
          <w:sz w:val="28"/>
          <w:szCs w:val="28"/>
        </w:rPr>
        <w:t>9</w:t>
      </w:r>
      <w:r>
        <w:rPr>
          <w:rFonts w:hint="eastAsia" w:ascii="宋体" w:hAnsi="宋体" w:eastAsia="宋体" w:cs="SourceHanSansCN-Normal"/>
          <w:kern w:val="0"/>
          <w:sz w:val="28"/>
          <w:szCs w:val="28"/>
        </w:rPr>
        <w:t>月</w:t>
      </w:r>
      <w:r>
        <w:rPr>
          <w:rFonts w:ascii="宋体" w:hAnsi="宋体" w:eastAsia="宋体" w:cs="SourceHanSansCN-Normal"/>
          <w:kern w:val="0"/>
          <w:sz w:val="28"/>
          <w:szCs w:val="28"/>
        </w:rPr>
        <w:t>26</w:t>
      </w:r>
      <w:r>
        <w:rPr>
          <w:rFonts w:hint="eastAsia" w:ascii="宋体" w:hAnsi="宋体" w:eastAsia="宋体" w:cs="SourceHanSansCN-Normal"/>
          <w:kern w:val="0"/>
          <w:sz w:val="28"/>
          <w:szCs w:val="28"/>
        </w:rPr>
        <w:t>日参加由上海上市公司协会、上证所信息网络有限公司共同举办的“</w:t>
      </w:r>
      <w:r>
        <w:rPr>
          <w:rFonts w:ascii="宋体" w:hAnsi="宋体" w:eastAsia="宋体" w:cs="SourceHanSansCN-Normal"/>
          <w:kern w:val="0"/>
          <w:sz w:val="28"/>
          <w:szCs w:val="28"/>
        </w:rPr>
        <w:t>2019</w:t>
      </w:r>
      <w:r>
        <w:rPr>
          <w:rFonts w:hint="eastAsia" w:ascii="宋体" w:hAnsi="宋体" w:eastAsia="宋体" w:cs="SourceHanSansCN-Normal"/>
          <w:kern w:val="0"/>
          <w:sz w:val="28"/>
          <w:szCs w:val="28"/>
        </w:rPr>
        <w:t>年上海辖区上市公司投资者集体接待日”活动，公司管理层积极主动通过网络在线交流形式与投资者就公司治理、发展战略、经营状况、融资计划、股权激励和可持续发展等投资者关注的问题进行了沟通，并回答投资者问题</w:t>
      </w:r>
      <w:r>
        <w:rPr>
          <w:rFonts w:ascii="宋体" w:hAnsi="宋体" w:eastAsia="宋体" w:cs="SourceHanSansCN-Normal"/>
          <w:kern w:val="0"/>
          <w:sz w:val="28"/>
          <w:szCs w:val="28"/>
        </w:rPr>
        <w:t>43</w:t>
      </w:r>
      <w:r>
        <w:rPr>
          <w:rFonts w:hint="eastAsia" w:ascii="宋体" w:hAnsi="宋体" w:eastAsia="宋体" w:cs="SourceHanSansCN-Normal"/>
          <w:kern w:val="0"/>
          <w:sz w:val="28"/>
          <w:szCs w:val="28"/>
        </w:rPr>
        <w:t>条。</w:t>
      </w:r>
    </w:p>
    <w:p>
      <w:pPr>
        <w:spacing w:line="520" w:lineRule="exact"/>
        <w:ind w:firstLine="560" w:firstLineChars="200"/>
        <w:rPr>
          <w:rFonts w:ascii="宋体" w:hAnsi="宋体" w:eastAsia="宋体"/>
          <w:sz w:val="28"/>
          <w:szCs w:val="28"/>
        </w:rPr>
      </w:pPr>
    </w:p>
    <w:p>
      <w:pPr>
        <w:spacing w:line="520" w:lineRule="exact"/>
        <w:ind w:firstLine="562" w:firstLineChars="200"/>
        <w:rPr>
          <w:rFonts w:ascii="宋体" w:hAnsi="宋体" w:eastAsia="宋体"/>
          <w:b/>
          <w:bCs/>
          <w:sz w:val="28"/>
          <w:szCs w:val="28"/>
        </w:rPr>
      </w:pPr>
      <w:r>
        <w:rPr>
          <w:rFonts w:hint="eastAsia" w:ascii="宋体" w:hAnsi="宋体" w:eastAsia="宋体"/>
          <w:b/>
          <w:bCs/>
          <w:sz w:val="28"/>
          <w:szCs w:val="28"/>
        </w:rPr>
        <w:t>四、持续维持高比例分红，回馈投资者</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自</w:t>
      </w:r>
      <w:r>
        <w:rPr>
          <w:rFonts w:ascii="宋体" w:hAnsi="宋体" w:eastAsia="宋体"/>
          <w:sz w:val="28"/>
          <w:szCs w:val="28"/>
        </w:rPr>
        <w:t>2015年公司重组以来，东方明珠积极回馈投资者，使投资者共享企业价值</w:t>
      </w:r>
      <w:r>
        <w:rPr>
          <w:rFonts w:hint="eastAsia" w:ascii="宋体" w:hAnsi="宋体" w:eastAsia="宋体"/>
          <w:sz w:val="28"/>
          <w:szCs w:val="28"/>
        </w:rPr>
        <w:t>，</w:t>
      </w:r>
      <w:r>
        <w:rPr>
          <w:rFonts w:ascii="宋体" w:hAnsi="宋体" w:eastAsia="宋体"/>
          <w:sz w:val="28"/>
          <w:szCs w:val="28"/>
        </w:rPr>
        <w:t>每年实施</w:t>
      </w:r>
      <w:r>
        <w:rPr>
          <w:rFonts w:hint="eastAsia" w:ascii="宋体" w:hAnsi="宋体" w:eastAsia="宋体"/>
          <w:sz w:val="28"/>
          <w:szCs w:val="28"/>
        </w:rPr>
        <w:t>利润分配</w:t>
      </w:r>
      <w:r>
        <w:rPr>
          <w:rFonts w:ascii="宋体" w:hAnsi="宋体" w:eastAsia="宋体"/>
          <w:sz w:val="28"/>
          <w:szCs w:val="28"/>
        </w:rPr>
        <w:t>并逐步提升，现金分红总额</w:t>
      </w:r>
      <w:r>
        <w:rPr>
          <w:rFonts w:hint="eastAsia" w:ascii="宋体" w:hAnsi="宋体" w:eastAsia="宋体"/>
          <w:sz w:val="28"/>
          <w:szCs w:val="28"/>
        </w:rPr>
        <w:t>累计达</w:t>
      </w:r>
      <w:r>
        <w:rPr>
          <w:rFonts w:ascii="宋体" w:hAnsi="宋体" w:eastAsia="宋体"/>
          <w:sz w:val="28"/>
          <w:szCs w:val="28"/>
        </w:rPr>
        <w:t>42.75亿</w:t>
      </w:r>
      <w:r>
        <w:rPr>
          <w:rFonts w:hint="eastAsia" w:ascii="宋体" w:hAnsi="宋体" w:eastAsia="宋体"/>
          <w:sz w:val="28"/>
          <w:szCs w:val="28"/>
        </w:rPr>
        <w:t>元人民币，年均分红金额较重组前提升</w:t>
      </w:r>
      <w:r>
        <w:rPr>
          <w:rFonts w:ascii="宋体" w:hAnsi="宋体" w:eastAsia="宋体"/>
          <w:sz w:val="28"/>
          <w:szCs w:val="28"/>
        </w:rPr>
        <w:t>184%。</w:t>
      </w:r>
    </w:p>
    <w:p>
      <w:pPr>
        <w:spacing w:line="520" w:lineRule="exact"/>
        <w:ind w:firstLine="560" w:firstLineChars="200"/>
        <w:rPr>
          <w:rFonts w:ascii="宋体" w:hAnsi="宋体" w:eastAsia="宋体"/>
          <w:sz w:val="28"/>
          <w:szCs w:val="28"/>
        </w:rPr>
      </w:pPr>
    </w:p>
    <w:p>
      <w:pPr>
        <w:spacing w:line="520" w:lineRule="exact"/>
        <w:ind w:firstLine="562" w:firstLineChars="200"/>
        <w:rPr>
          <w:rFonts w:ascii="宋体" w:hAnsi="宋体" w:eastAsia="宋体"/>
          <w:b/>
          <w:bCs/>
          <w:sz w:val="28"/>
          <w:szCs w:val="28"/>
        </w:rPr>
      </w:pPr>
      <w:r>
        <w:rPr>
          <w:rFonts w:hint="eastAsia" w:ascii="宋体" w:hAnsi="宋体" w:eastAsia="宋体"/>
          <w:b/>
          <w:bCs/>
          <w:sz w:val="28"/>
          <w:szCs w:val="28"/>
        </w:rPr>
        <w:t>五、持续发布社会责任报告</w:t>
      </w:r>
    </w:p>
    <w:p>
      <w:pPr>
        <w:spacing w:line="520" w:lineRule="exact"/>
        <w:ind w:firstLine="560" w:firstLineChars="200"/>
        <w:rPr>
          <w:rFonts w:ascii="宋体" w:hAnsi="宋体" w:eastAsia="宋体" w:cs="SourceHanSansCN-Normal"/>
          <w:kern w:val="0"/>
          <w:sz w:val="28"/>
          <w:szCs w:val="28"/>
        </w:rPr>
      </w:pPr>
      <w:r>
        <w:rPr>
          <w:rFonts w:hint="eastAsia" w:ascii="宋体" w:hAnsi="宋体" w:eastAsia="宋体" w:cs="SourceHanSansCN-Normal"/>
          <w:kern w:val="0"/>
          <w:sz w:val="28"/>
          <w:szCs w:val="28"/>
        </w:rPr>
        <w:t>上市公司社会责任报告是体现上市公司环境责任、社会责任和公司治理责任的报告。公司已经连续四年披露社会责任报告，从市场绩效、社会绩效、环境绩效等方面展示了东方明珠对政府、股东、客户、合作伙伴、员工、社区、环境等各层面做出的各项努力，充分体现了东方明珠作为行业龙头公司，关注自身发展、关注行业发展、关注社会发展的责任践行道路。</w:t>
      </w:r>
    </w:p>
    <w:p>
      <w:pPr>
        <w:spacing w:line="520" w:lineRule="exact"/>
        <w:ind w:firstLine="560" w:firstLineChars="200"/>
        <w:rPr>
          <w:rFonts w:ascii="宋体" w:hAnsi="宋体" w:eastAsia="宋体" w:cs="SourceHanSansCN-Normal"/>
          <w:kern w:val="0"/>
          <w:sz w:val="28"/>
          <w:szCs w:val="28"/>
        </w:rPr>
      </w:pPr>
    </w:p>
    <w:p>
      <w:pPr>
        <w:spacing w:line="520" w:lineRule="exact"/>
        <w:ind w:firstLine="560" w:firstLineChars="200"/>
        <w:rPr>
          <w:rFonts w:ascii="宋体" w:hAnsi="宋体" w:eastAsia="宋体" w:cs="SourceHanSansCN-Normal"/>
          <w:kern w:val="0"/>
          <w:sz w:val="28"/>
          <w:szCs w:val="28"/>
        </w:rPr>
      </w:pPr>
      <w:r>
        <w:rPr>
          <w:rFonts w:hint="eastAsia" w:ascii="宋体" w:hAnsi="宋体" w:eastAsia="宋体" w:cs="SourceHanSansCN-Normal"/>
          <w:kern w:val="0"/>
          <w:sz w:val="28"/>
          <w:szCs w:val="28"/>
        </w:rPr>
        <w:t>面向未来，东方明珠将继续努力提高公司治理水平，提升公司质量，践行新《证券法》加强投资者保护，坚持社会效益与经济效益相统一，提升社会责任履行能力，百尺竿头更进一步，为社会、经济、环境及行业的可持续发展做出更多贡献！</w:t>
      </w:r>
    </w:p>
    <w:p>
      <w:pPr>
        <w:spacing w:line="520" w:lineRule="exact"/>
        <w:ind w:firstLine="560" w:firstLineChars="200"/>
        <w:rPr>
          <w:rFonts w:ascii="宋体" w:hAnsi="宋体" w:eastAsia="宋体"/>
          <w:sz w:val="28"/>
          <w:szCs w:val="28"/>
        </w:rPr>
      </w:pPr>
    </w:p>
    <w:p>
      <w:pPr>
        <w:spacing w:line="520" w:lineRule="exact"/>
        <w:ind w:firstLine="560" w:firstLineChars="200"/>
        <w:rPr>
          <w:rFonts w:ascii="宋体" w:hAnsi="宋体" w:eastAsia="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ourceHanSansCN-Bold">
    <w:altName w:val="微软雅黑"/>
    <w:panose1 w:val="00000000000000000000"/>
    <w:charset w:val="86"/>
    <w:family w:val="auto"/>
    <w:pitch w:val="default"/>
    <w:sig w:usb0="00000000" w:usb1="00000000" w:usb2="00000010" w:usb3="00000000" w:csb0="00040000" w:csb1="00000000"/>
  </w:font>
  <w:font w:name="SourceHanSansCN-Normal">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53"/>
    <w:rsid w:val="0001150D"/>
    <w:rsid w:val="0001421A"/>
    <w:rsid w:val="00025827"/>
    <w:rsid w:val="00034FD4"/>
    <w:rsid w:val="0004239B"/>
    <w:rsid w:val="00043AA8"/>
    <w:rsid w:val="00045343"/>
    <w:rsid w:val="00073817"/>
    <w:rsid w:val="000B5173"/>
    <w:rsid w:val="000C56D4"/>
    <w:rsid w:val="000D6EF2"/>
    <w:rsid w:val="000E5EA0"/>
    <w:rsid w:val="000F1265"/>
    <w:rsid w:val="0012101D"/>
    <w:rsid w:val="00123A52"/>
    <w:rsid w:val="0012500A"/>
    <w:rsid w:val="0013081D"/>
    <w:rsid w:val="00140DC1"/>
    <w:rsid w:val="00166B10"/>
    <w:rsid w:val="0018273B"/>
    <w:rsid w:val="001840FA"/>
    <w:rsid w:val="00197965"/>
    <w:rsid w:val="001A0E43"/>
    <w:rsid w:val="001D3B7F"/>
    <w:rsid w:val="001D4721"/>
    <w:rsid w:val="001F3551"/>
    <w:rsid w:val="00222232"/>
    <w:rsid w:val="0023448D"/>
    <w:rsid w:val="002362E5"/>
    <w:rsid w:val="00237C24"/>
    <w:rsid w:val="002413A0"/>
    <w:rsid w:val="002556B7"/>
    <w:rsid w:val="0025742C"/>
    <w:rsid w:val="00257585"/>
    <w:rsid w:val="0026001F"/>
    <w:rsid w:val="00264CA4"/>
    <w:rsid w:val="00292CBE"/>
    <w:rsid w:val="002A1902"/>
    <w:rsid w:val="002A5B60"/>
    <w:rsid w:val="002A73C1"/>
    <w:rsid w:val="002B6788"/>
    <w:rsid w:val="002B7445"/>
    <w:rsid w:val="002C1CE8"/>
    <w:rsid w:val="002C46E6"/>
    <w:rsid w:val="002E17E6"/>
    <w:rsid w:val="002E60B9"/>
    <w:rsid w:val="00312189"/>
    <w:rsid w:val="00324154"/>
    <w:rsid w:val="0034743D"/>
    <w:rsid w:val="00365BE0"/>
    <w:rsid w:val="003924F9"/>
    <w:rsid w:val="00392A04"/>
    <w:rsid w:val="003A674C"/>
    <w:rsid w:val="003C07D3"/>
    <w:rsid w:val="003C0A1F"/>
    <w:rsid w:val="003C4C31"/>
    <w:rsid w:val="003D52BB"/>
    <w:rsid w:val="003F0816"/>
    <w:rsid w:val="003F0CED"/>
    <w:rsid w:val="003F1C18"/>
    <w:rsid w:val="0040444D"/>
    <w:rsid w:val="004063C2"/>
    <w:rsid w:val="00441548"/>
    <w:rsid w:val="00451899"/>
    <w:rsid w:val="004737A8"/>
    <w:rsid w:val="00474086"/>
    <w:rsid w:val="00484B30"/>
    <w:rsid w:val="00484E18"/>
    <w:rsid w:val="004B1771"/>
    <w:rsid w:val="004C4CD5"/>
    <w:rsid w:val="004C57BF"/>
    <w:rsid w:val="004C7C4E"/>
    <w:rsid w:val="004F34C8"/>
    <w:rsid w:val="005002C5"/>
    <w:rsid w:val="00501FB2"/>
    <w:rsid w:val="005659DC"/>
    <w:rsid w:val="005929C9"/>
    <w:rsid w:val="005A2778"/>
    <w:rsid w:val="005A2CA8"/>
    <w:rsid w:val="005E06EB"/>
    <w:rsid w:val="005F022B"/>
    <w:rsid w:val="00602733"/>
    <w:rsid w:val="00620F17"/>
    <w:rsid w:val="006359E9"/>
    <w:rsid w:val="00667B5A"/>
    <w:rsid w:val="0067742B"/>
    <w:rsid w:val="006A1574"/>
    <w:rsid w:val="006B2E5F"/>
    <w:rsid w:val="006C0F68"/>
    <w:rsid w:val="006C2BDB"/>
    <w:rsid w:val="006C3097"/>
    <w:rsid w:val="006D780A"/>
    <w:rsid w:val="006E404B"/>
    <w:rsid w:val="0070477D"/>
    <w:rsid w:val="00727EF6"/>
    <w:rsid w:val="00745F8D"/>
    <w:rsid w:val="00776D56"/>
    <w:rsid w:val="007857AF"/>
    <w:rsid w:val="007C2984"/>
    <w:rsid w:val="007C4601"/>
    <w:rsid w:val="007D2E71"/>
    <w:rsid w:val="007D412F"/>
    <w:rsid w:val="007D6944"/>
    <w:rsid w:val="007F0F73"/>
    <w:rsid w:val="007F2311"/>
    <w:rsid w:val="00817FA5"/>
    <w:rsid w:val="00831B53"/>
    <w:rsid w:val="008655E7"/>
    <w:rsid w:val="00871515"/>
    <w:rsid w:val="008804D2"/>
    <w:rsid w:val="00894D19"/>
    <w:rsid w:val="008A2A7A"/>
    <w:rsid w:val="008B063B"/>
    <w:rsid w:val="008B10BA"/>
    <w:rsid w:val="008B142C"/>
    <w:rsid w:val="008B3D0F"/>
    <w:rsid w:val="008C68EA"/>
    <w:rsid w:val="008C69E4"/>
    <w:rsid w:val="008E430F"/>
    <w:rsid w:val="00902FEE"/>
    <w:rsid w:val="00905EB2"/>
    <w:rsid w:val="0091732D"/>
    <w:rsid w:val="00926E04"/>
    <w:rsid w:val="009579AC"/>
    <w:rsid w:val="00961727"/>
    <w:rsid w:val="0097038A"/>
    <w:rsid w:val="009844D0"/>
    <w:rsid w:val="00986005"/>
    <w:rsid w:val="00993A53"/>
    <w:rsid w:val="00995BBA"/>
    <w:rsid w:val="009A515F"/>
    <w:rsid w:val="009D476F"/>
    <w:rsid w:val="009E060E"/>
    <w:rsid w:val="009F4D2C"/>
    <w:rsid w:val="00A10469"/>
    <w:rsid w:val="00A12EC2"/>
    <w:rsid w:val="00A61B1E"/>
    <w:rsid w:val="00A70E9C"/>
    <w:rsid w:val="00A778CA"/>
    <w:rsid w:val="00A8210E"/>
    <w:rsid w:val="00AA44EE"/>
    <w:rsid w:val="00AB5288"/>
    <w:rsid w:val="00AB6F07"/>
    <w:rsid w:val="00AD67C6"/>
    <w:rsid w:val="00B171FA"/>
    <w:rsid w:val="00B34178"/>
    <w:rsid w:val="00B426ED"/>
    <w:rsid w:val="00B52989"/>
    <w:rsid w:val="00B66BA4"/>
    <w:rsid w:val="00BA0857"/>
    <w:rsid w:val="00BA4E62"/>
    <w:rsid w:val="00BE16D1"/>
    <w:rsid w:val="00BE28BC"/>
    <w:rsid w:val="00C11B98"/>
    <w:rsid w:val="00C13614"/>
    <w:rsid w:val="00C23278"/>
    <w:rsid w:val="00C26588"/>
    <w:rsid w:val="00C52D89"/>
    <w:rsid w:val="00C54725"/>
    <w:rsid w:val="00C56958"/>
    <w:rsid w:val="00C56BED"/>
    <w:rsid w:val="00C57E24"/>
    <w:rsid w:val="00C61961"/>
    <w:rsid w:val="00C62214"/>
    <w:rsid w:val="00C7077E"/>
    <w:rsid w:val="00C735E8"/>
    <w:rsid w:val="00C74C62"/>
    <w:rsid w:val="00C7534D"/>
    <w:rsid w:val="00C84EB4"/>
    <w:rsid w:val="00C85A9F"/>
    <w:rsid w:val="00C874B1"/>
    <w:rsid w:val="00C93DE0"/>
    <w:rsid w:val="00CD784C"/>
    <w:rsid w:val="00CF28C7"/>
    <w:rsid w:val="00D02111"/>
    <w:rsid w:val="00D06029"/>
    <w:rsid w:val="00D07263"/>
    <w:rsid w:val="00D17324"/>
    <w:rsid w:val="00D20CF7"/>
    <w:rsid w:val="00D51130"/>
    <w:rsid w:val="00D536C2"/>
    <w:rsid w:val="00D53B51"/>
    <w:rsid w:val="00D76160"/>
    <w:rsid w:val="00D77631"/>
    <w:rsid w:val="00D77A95"/>
    <w:rsid w:val="00DB4AFE"/>
    <w:rsid w:val="00DD6A71"/>
    <w:rsid w:val="00DE4073"/>
    <w:rsid w:val="00DE7FB5"/>
    <w:rsid w:val="00E441D8"/>
    <w:rsid w:val="00E44FA4"/>
    <w:rsid w:val="00E55730"/>
    <w:rsid w:val="00E74AED"/>
    <w:rsid w:val="00E97708"/>
    <w:rsid w:val="00EB645E"/>
    <w:rsid w:val="00EC53FF"/>
    <w:rsid w:val="00ED4F12"/>
    <w:rsid w:val="00ED54F4"/>
    <w:rsid w:val="00ED567A"/>
    <w:rsid w:val="00EF1555"/>
    <w:rsid w:val="00F20895"/>
    <w:rsid w:val="00F529FB"/>
    <w:rsid w:val="00F63401"/>
    <w:rsid w:val="00F7792C"/>
    <w:rsid w:val="00F87F3D"/>
    <w:rsid w:val="00F918D8"/>
    <w:rsid w:val="00F95069"/>
    <w:rsid w:val="00FC3F4D"/>
    <w:rsid w:val="25775818"/>
    <w:rsid w:val="5B13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445</Words>
  <Characters>2542</Characters>
  <Lines>21</Lines>
  <Paragraphs>5</Paragraphs>
  <TotalTime>0</TotalTime>
  <ScaleCrop>false</ScaleCrop>
  <LinksUpToDate>false</LinksUpToDate>
  <CharactersWithSpaces>2982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2020-05-12T09:29:00Z</dcterms:created>
  <dc:creator>嵇绯绯</dc:creator>
  <cp:lastModifiedBy>马晓鹏</cp:lastModifiedBy>
  <cp:lastPrinted>2020-05-12T09:12:00Z</cp:lastPrinted>
  <dcterms:modified xsi:type="dcterms:W3CDTF">2020-05-27T09:27:09Z</dcterms:modified>
  <dc:title>“诚实守信 做受尊敬的上市公司”投资者保护专项行动系列宣传文章</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